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BB7F06F" w14:textId="0A3157FC" w:rsidR="00000000" w:rsidRPr="00D91253" w:rsidRDefault="00D91253">
      <w:pPr>
        <w:spacing w:line="292" w:lineRule="exact"/>
        <w:jc w:val="center"/>
        <w:rPr>
          <w:rFonts w:ascii="ＭＳ 明朝" w:hAnsi="游明朝" w:cs="Times New Roman"/>
          <w:sz w:val="28"/>
          <w:szCs w:val="28"/>
        </w:rPr>
      </w:pPr>
      <w:r w:rsidRPr="00D91253">
        <w:rPr>
          <w:rFonts w:ascii="ＭＳ 明朝" w:eastAsia="ＭＳ Ｐ明朝" w:hAnsi="游明朝" w:cs="ＭＳ Ｐ明朝" w:hint="eastAsia"/>
          <w:sz w:val="28"/>
          <w:szCs w:val="28"/>
          <w:u w:val="single" w:color="000000"/>
        </w:rPr>
        <w:t xml:space="preserve">　　　　期</w:t>
      </w:r>
      <w:r w:rsidRPr="00D91253">
        <w:rPr>
          <w:rFonts w:ascii="ＭＳ 明朝" w:eastAsia="ＭＳ Ｐ明朝" w:hAnsi="游明朝" w:cs="ＭＳ Ｐ明朝" w:hint="eastAsia"/>
          <w:sz w:val="28"/>
          <w:szCs w:val="28"/>
        </w:rPr>
        <w:t xml:space="preserve">　「総合的な学習の時間」改</w:t>
      </w:r>
      <w:r w:rsidRPr="00D91253">
        <w:rPr>
          <w:rFonts w:ascii="ＭＳ 明朝" w:eastAsia="ＭＳ Ｐ明朝" w:hAnsi="游明朝" w:cs="ＭＳ Ｐ明朝" w:hint="eastAsia"/>
          <w:spacing w:val="8"/>
          <w:sz w:val="28"/>
          <w:szCs w:val="28"/>
        </w:rPr>
        <w:t>善</w:t>
      </w:r>
      <w:r w:rsidRPr="00D91253">
        <w:rPr>
          <w:rFonts w:ascii="ＭＳ 明朝" w:eastAsia="ＭＳ Ｐ明朝" w:hAnsi="游明朝" w:cs="ＭＳ Ｐ明朝" w:hint="eastAsia"/>
          <w:sz w:val="28"/>
          <w:szCs w:val="28"/>
        </w:rPr>
        <w:t xml:space="preserve">のための振り返り　　　</w:t>
      </w:r>
    </w:p>
    <w:p w14:paraId="1A8FA5CC" w14:textId="77777777" w:rsidR="00000000" w:rsidRPr="00D91253" w:rsidRDefault="00D91253">
      <w:pPr>
        <w:spacing w:line="292" w:lineRule="exact"/>
        <w:rPr>
          <w:rFonts w:ascii="ＭＳ 明朝" w:hAnsi="游明朝" w:cs="Times New Roman"/>
        </w:rPr>
      </w:pPr>
    </w:p>
    <w:p w14:paraId="13D843ED" w14:textId="77777777" w:rsidR="00000000" w:rsidRPr="00D91253" w:rsidRDefault="00D91253">
      <w:pPr>
        <w:spacing w:line="460" w:lineRule="exact"/>
        <w:rPr>
          <w:rFonts w:ascii="ＭＳ 明朝" w:hAnsi="游明朝" w:cs="Times New Roman"/>
        </w:rPr>
      </w:pPr>
      <w:r w:rsidRPr="00D91253">
        <w:rPr>
          <w:rFonts w:ascii="ＭＳ 明朝" w:hAnsi="游明朝" w:cs="Times New Roman"/>
          <w:color w:val="auto"/>
          <w:sz w:val="24"/>
          <w:szCs w:val="24"/>
        </w:rPr>
        <w:fldChar w:fldCharType="begin"/>
      </w:r>
      <w:r w:rsidRPr="00D91253">
        <w:rPr>
          <w:rFonts w:ascii="ＭＳ 明朝" w:hAnsi="游明朝" w:cs="Times New Roman"/>
          <w:color w:val="auto"/>
          <w:sz w:val="24"/>
          <w:szCs w:val="24"/>
        </w:rPr>
        <w:instrText>eq \o\ad(</w:instrText>
      </w:r>
      <w:r>
        <w:rPr>
          <w:rFonts w:hint="eastAsia"/>
        </w:rPr>
        <w:instrText>評価期間</w:instrText>
      </w:r>
      <w:r w:rsidRPr="00D91253">
        <w:rPr>
          <w:rFonts w:ascii="ＭＳ 明朝" w:hAnsi="游明朝" w:cs="Times New Roman"/>
          <w:color w:val="auto"/>
          <w:sz w:val="24"/>
          <w:szCs w:val="24"/>
        </w:rPr>
        <w:instrText>,</w:instrText>
      </w:r>
      <w:r w:rsidRPr="00D91253">
        <w:rPr>
          <w:rFonts w:ascii="ＭＳ 明朝" w:hAnsi="游明朝" w:cs="Times New Roman" w:hint="eastAsia"/>
          <w:color w:val="auto"/>
        </w:rPr>
        <w:instrText xml:space="preserve">　　　　　</w:instrText>
      </w:r>
      <w:r w:rsidRPr="00D91253">
        <w:rPr>
          <w:rFonts w:ascii="ＭＳ 明朝" w:hAnsi="游明朝" w:cs="Times New Roman"/>
          <w:color w:val="auto"/>
          <w:sz w:val="24"/>
          <w:szCs w:val="24"/>
        </w:rPr>
        <w:instrText>)</w:instrText>
      </w:r>
      <w:r w:rsidRPr="00D91253">
        <w:rPr>
          <w:rFonts w:ascii="ＭＳ 明朝" w:hAnsi="游明朝" w:cs="Times New Roman"/>
          <w:color w:val="auto"/>
          <w:sz w:val="24"/>
          <w:szCs w:val="24"/>
        </w:rPr>
        <w:fldChar w:fldCharType="end"/>
      </w:r>
      <w:r>
        <w:rPr>
          <w:rFonts w:hint="eastAsia"/>
        </w:rPr>
        <w:t xml:space="preserve">　　　　年　　　月　　　日　～　　　　年　　　月　　　日</w:t>
      </w:r>
    </w:p>
    <w:p w14:paraId="6AB29324" w14:textId="77777777" w:rsidR="00000000" w:rsidRPr="00D91253" w:rsidRDefault="00D91253">
      <w:pPr>
        <w:spacing w:line="460" w:lineRule="exact"/>
        <w:rPr>
          <w:rFonts w:ascii="ＭＳ 明朝" w:hAnsi="游明朝" w:cs="Times New Roman"/>
        </w:rPr>
      </w:pPr>
      <w:r w:rsidRPr="00D91253">
        <w:rPr>
          <w:rFonts w:ascii="ＭＳ 明朝" w:hAnsi="游明朝" w:cs="Times New Roman"/>
          <w:color w:val="auto"/>
          <w:sz w:val="24"/>
          <w:szCs w:val="24"/>
        </w:rPr>
        <w:fldChar w:fldCharType="begin"/>
      </w:r>
      <w:r w:rsidRPr="00D91253">
        <w:rPr>
          <w:rFonts w:ascii="ＭＳ 明朝" w:hAnsi="游明朝" w:cs="Times New Roman"/>
          <w:color w:val="auto"/>
          <w:sz w:val="24"/>
          <w:szCs w:val="24"/>
        </w:rPr>
        <w:instrText>eq \o\ad(</w:instrText>
      </w:r>
      <w:r>
        <w:rPr>
          <w:rFonts w:hint="eastAsia"/>
        </w:rPr>
        <w:instrText>自己評価</w:instrText>
      </w:r>
      <w:r w:rsidRPr="00D91253">
        <w:rPr>
          <w:rFonts w:ascii="ＭＳ 明朝" w:hAnsi="游明朝" w:cs="Times New Roman"/>
          <w:color w:val="auto"/>
          <w:sz w:val="24"/>
          <w:szCs w:val="24"/>
        </w:rPr>
        <w:instrText>,</w:instrText>
      </w:r>
      <w:r w:rsidRPr="00D91253">
        <w:rPr>
          <w:rFonts w:ascii="ＭＳ 明朝" w:hAnsi="游明朝" w:cs="Times New Roman" w:hint="eastAsia"/>
          <w:color w:val="auto"/>
        </w:rPr>
        <w:instrText xml:space="preserve">　　　　　</w:instrText>
      </w:r>
      <w:r w:rsidRPr="00D91253">
        <w:rPr>
          <w:rFonts w:ascii="ＭＳ 明朝" w:hAnsi="游明朝" w:cs="Times New Roman"/>
          <w:color w:val="auto"/>
          <w:sz w:val="24"/>
          <w:szCs w:val="24"/>
        </w:rPr>
        <w:instrText>)</w:instrText>
      </w:r>
      <w:r w:rsidRPr="00D91253">
        <w:rPr>
          <w:rFonts w:ascii="ＭＳ 明朝" w:hAnsi="游明朝" w:cs="Times New Roman"/>
          <w:color w:val="auto"/>
          <w:sz w:val="24"/>
          <w:szCs w:val="24"/>
        </w:rPr>
        <w:fldChar w:fldCharType="end"/>
      </w:r>
      <w:r>
        <w:rPr>
          <w:rFonts w:hint="eastAsia"/>
        </w:rPr>
        <w:t xml:space="preserve">　　Ａ：良くあてはまる　Ｂ：あてはまる　Ｃ：あまりあてはまらない　Ｄ：あてはまらない</w:t>
      </w:r>
    </w:p>
    <w:tbl>
      <w:tblPr>
        <w:tblW w:w="0" w:type="auto"/>
        <w:tblInd w:w="5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24"/>
        <w:gridCol w:w="420"/>
        <w:gridCol w:w="368"/>
        <w:gridCol w:w="8042"/>
        <w:gridCol w:w="1051"/>
      </w:tblGrid>
      <w:tr w:rsidR="00000000" w:rsidRPr="00D91253" w14:paraId="23B197EA" w14:textId="77777777" w:rsidTr="000065C3">
        <w:tblPrEx>
          <w:tblCellMar>
            <w:top w:w="0" w:type="dxa"/>
            <w:bottom w:w="0" w:type="dxa"/>
          </w:tblCellMar>
        </w:tblPrEx>
        <w:trPr>
          <w:trHeight w:val="192"/>
        </w:trPr>
        <w:tc>
          <w:tcPr>
            <w:tcW w:w="525" w:type="dxa"/>
            <w:gridSpan w:val="2"/>
            <w:tcBorders>
              <w:top w:val="nil"/>
              <w:left w:val="nil"/>
              <w:bottom w:val="nil"/>
              <w:right w:val="single" w:sz="12" w:space="0" w:color="000000"/>
            </w:tcBorders>
          </w:tcPr>
          <w:p w14:paraId="5FC3C72F"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color w:val="auto"/>
                <w:sz w:val="24"/>
                <w:szCs w:val="24"/>
              </w:rPr>
            </w:pPr>
          </w:p>
        </w:tc>
        <w:tc>
          <w:tcPr>
            <w:tcW w:w="8410" w:type="dxa"/>
            <w:gridSpan w:val="2"/>
            <w:tcBorders>
              <w:top w:val="single" w:sz="12" w:space="0" w:color="000000"/>
              <w:left w:val="single" w:sz="12" w:space="0" w:color="000000"/>
              <w:bottom w:val="nil"/>
              <w:right w:val="single" w:sz="4" w:space="0" w:color="000000"/>
            </w:tcBorders>
          </w:tcPr>
          <w:p w14:paraId="1B64F8D8"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項　　　　　　目</w:t>
            </w:r>
          </w:p>
        </w:tc>
        <w:tc>
          <w:tcPr>
            <w:tcW w:w="1051" w:type="dxa"/>
            <w:tcBorders>
              <w:top w:val="single" w:sz="12" w:space="0" w:color="000000"/>
              <w:left w:val="single" w:sz="4" w:space="0" w:color="000000"/>
              <w:bottom w:val="nil"/>
              <w:right w:val="single" w:sz="12" w:space="0" w:color="000000"/>
            </w:tcBorders>
          </w:tcPr>
          <w:p w14:paraId="40A8B842"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自己評価</w:t>
            </w:r>
          </w:p>
        </w:tc>
      </w:tr>
      <w:tr w:rsidR="00000000" w:rsidRPr="00D91253" w14:paraId="1AD4511D" w14:textId="77777777" w:rsidTr="000065C3">
        <w:tblPrEx>
          <w:tblCellMar>
            <w:top w:w="0" w:type="dxa"/>
            <w:bottom w:w="0" w:type="dxa"/>
          </w:tblCellMar>
        </w:tblPrEx>
        <w:trPr>
          <w:trHeight w:val="3559"/>
        </w:trPr>
        <w:tc>
          <w:tcPr>
            <w:tcW w:w="105" w:type="dxa"/>
            <w:vMerge w:val="restart"/>
            <w:tcBorders>
              <w:top w:val="nil"/>
              <w:left w:val="nil"/>
              <w:bottom w:val="nil"/>
              <w:right w:val="nil"/>
            </w:tcBorders>
          </w:tcPr>
          <w:p w14:paraId="6F1DC0F9"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p>
        </w:tc>
        <w:tc>
          <w:tcPr>
            <w:tcW w:w="420" w:type="dxa"/>
            <w:tcBorders>
              <w:top w:val="single" w:sz="12" w:space="0" w:color="000000"/>
              <w:left w:val="single" w:sz="12" w:space="0" w:color="000000"/>
              <w:bottom w:val="nil"/>
              <w:right w:val="single" w:sz="12" w:space="0" w:color="000000"/>
            </w:tcBorders>
          </w:tcPr>
          <w:p w14:paraId="694C366F"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p>
          <w:p w14:paraId="2BD12388"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p>
          <w:p w14:paraId="114CDEC4"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position w:val="-20"/>
              </w:rPr>
              <w:t>指導計画</w:t>
            </w:r>
          </w:p>
        </w:tc>
        <w:tc>
          <w:tcPr>
            <w:tcW w:w="368" w:type="dxa"/>
            <w:tcBorders>
              <w:top w:val="single" w:sz="12" w:space="0" w:color="000000"/>
              <w:left w:val="single" w:sz="12" w:space="0" w:color="000000"/>
              <w:bottom w:val="nil"/>
              <w:right w:val="nil"/>
            </w:tcBorders>
          </w:tcPr>
          <w:p w14:paraId="3294B7C4"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１</w:t>
            </w:r>
          </w:p>
          <w:p w14:paraId="0E5ABA1D"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２</w:t>
            </w:r>
          </w:p>
          <w:p w14:paraId="49A2B131"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３</w:t>
            </w:r>
          </w:p>
          <w:p w14:paraId="017489A9"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４</w:t>
            </w:r>
          </w:p>
          <w:p w14:paraId="6ED1B83D"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５</w:t>
            </w:r>
          </w:p>
          <w:p w14:paraId="7E95DD91"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６７８９</w:t>
            </w:r>
          </w:p>
        </w:tc>
        <w:tc>
          <w:tcPr>
            <w:tcW w:w="8042" w:type="dxa"/>
            <w:tcBorders>
              <w:top w:val="single" w:sz="12" w:space="0" w:color="000000"/>
              <w:left w:val="nil"/>
              <w:bottom w:val="nil"/>
              <w:right w:val="single" w:sz="4" w:space="0" w:color="000000"/>
            </w:tcBorders>
          </w:tcPr>
          <w:p w14:paraId="05FA05FE"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「探究的な見方・考え方」を磨き、発揮することのできる横断的・総合的な学習となるよう計画した。</w:t>
            </w:r>
          </w:p>
          <w:p w14:paraId="63C4A11C"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よりよく課題を解決し、自己の生き方を考えることができるよう計画した。</w:t>
            </w:r>
          </w:p>
          <w:p w14:paraId="0965A616"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課題の解決に必要な知識及び技能を身につけることができるよう計画した。</w:t>
            </w:r>
          </w:p>
          <w:p w14:paraId="1BA15796"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「課題設定→情報収集→整理・分析→まとめ・表現」というプロセスを身につけることができるよう計画した。</w:t>
            </w:r>
          </w:p>
          <w:p w14:paraId="17A9D4CF"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主体的・協働的に課題の解決に取り組み、積極的に社会に参画しようとする態度を養うよう計画した。</w:t>
            </w:r>
          </w:p>
          <w:p w14:paraId="6955CF54"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自然体験、社会体験，観察・実験，見学、調査，発表、討論など多様な学習活</w:t>
            </w:r>
            <w:r w:rsidRPr="00D91253">
              <w:rPr>
                <w:rFonts w:ascii="ＭＳ 明朝" w:eastAsia="ＭＳ Ｐ明朝" w:hAnsi="游明朝" w:cs="ＭＳ Ｐ明朝" w:hint="eastAsia"/>
                <w:sz w:val="18"/>
                <w:szCs w:val="18"/>
              </w:rPr>
              <w:t>動を計画に位置づけた。</w:t>
            </w:r>
          </w:p>
          <w:p w14:paraId="1BFFCA52"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個人学習、グループ学</w:t>
            </w:r>
            <w:bookmarkStart w:id="0" w:name="_GoBack"/>
            <w:bookmarkEnd w:id="0"/>
            <w:r w:rsidRPr="00D91253">
              <w:rPr>
                <w:rFonts w:ascii="ＭＳ 明朝" w:eastAsia="ＭＳ Ｐ明朝" w:hAnsi="游明朝" w:cs="ＭＳ Ｐ明朝" w:hint="eastAsia"/>
                <w:sz w:val="18"/>
                <w:szCs w:val="18"/>
              </w:rPr>
              <w:t>習、異年齢集団による学習など多様な学習形態を計画に位置づけた。</w:t>
            </w:r>
          </w:p>
          <w:p w14:paraId="3F01687B"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地域や学校，生徒の実態等を踏まえ、その特色を活かして計画した。</w:t>
            </w:r>
          </w:p>
          <w:p w14:paraId="34121578"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sidRPr="00D91253">
              <w:rPr>
                <w:rFonts w:ascii="ＭＳ 明朝" w:eastAsia="ＭＳ Ｐ明朝" w:hAnsi="游明朝" w:cs="ＭＳ Ｐ明朝" w:hint="eastAsia"/>
                <w:sz w:val="18"/>
                <w:szCs w:val="18"/>
              </w:rPr>
              <w:t>小学校における総合的な学習の時間の取組を踏まえて計画した。</w:t>
            </w:r>
          </w:p>
        </w:tc>
        <w:tc>
          <w:tcPr>
            <w:tcW w:w="1051" w:type="dxa"/>
            <w:tcBorders>
              <w:top w:val="single" w:sz="12" w:space="0" w:color="000000"/>
              <w:left w:val="single" w:sz="4" w:space="0" w:color="000000"/>
              <w:bottom w:val="nil"/>
              <w:right w:val="single" w:sz="12" w:space="0" w:color="000000"/>
            </w:tcBorders>
          </w:tcPr>
          <w:p w14:paraId="6E57C0DE"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cs="Times New Roman"/>
              </w:rPr>
              <w:t>A B C D</w:t>
            </w:r>
          </w:p>
          <w:p w14:paraId="378EEB9A"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cs="Times New Roman"/>
              </w:rPr>
              <w:t>A B C D</w:t>
            </w:r>
          </w:p>
          <w:p w14:paraId="00F13C9B"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cs="Times New Roman"/>
              </w:rPr>
              <w:t>A B C D</w:t>
            </w:r>
          </w:p>
          <w:p w14:paraId="41AEA8A0"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cs="Times New Roman"/>
              </w:rPr>
              <w:t>A B C D</w:t>
            </w:r>
          </w:p>
          <w:p w14:paraId="6487E34E"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cs="Times New Roman"/>
              </w:rPr>
              <w:t>A B C D</w:t>
            </w:r>
          </w:p>
          <w:p w14:paraId="4C282331"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cs="Times New Roman"/>
              </w:rPr>
              <w:t>A B C D</w:t>
            </w:r>
          </w:p>
          <w:p w14:paraId="3ADAF24E"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cs="Times New Roman"/>
              </w:rPr>
              <w:t>A B C D</w:t>
            </w:r>
          </w:p>
          <w:p w14:paraId="7C8E7C90"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cs="Times New Roman"/>
              </w:rPr>
              <w:t>A B C D</w:t>
            </w:r>
          </w:p>
          <w:p w14:paraId="014DA58A"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cs="Times New Roman"/>
              </w:rPr>
              <w:t>A B C D</w:t>
            </w:r>
          </w:p>
        </w:tc>
      </w:tr>
      <w:tr w:rsidR="00000000" w:rsidRPr="00D91253" w14:paraId="28D7792B" w14:textId="77777777" w:rsidTr="000065C3">
        <w:tblPrEx>
          <w:tblCellMar>
            <w:top w:w="0" w:type="dxa"/>
            <w:bottom w:w="0" w:type="dxa"/>
          </w:tblCellMar>
        </w:tblPrEx>
        <w:trPr>
          <w:trHeight w:val="1188"/>
        </w:trPr>
        <w:tc>
          <w:tcPr>
            <w:tcW w:w="105" w:type="dxa"/>
            <w:vMerge/>
            <w:tcBorders>
              <w:top w:val="nil"/>
              <w:left w:val="nil"/>
              <w:bottom w:val="nil"/>
              <w:right w:val="nil"/>
            </w:tcBorders>
          </w:tcPr>
          <w:p w14:paraId="5E387EEE" w14:textId="77777777" w:rsidR="00000000" w:rsidRPr="00D91253" w:rsidRDefault="00D91253">
            <w:pPr>
              <w:overflowPunct/>
              <w:autoSpaceDE w:val="0"/>
              <w:autoSpaceDN w:val="0"/>
              <w:jc w:val="left"/>
              <w:textAlignment w:val="auto"/>
              <w:rPr>
                <w:rFonts w:ascii="ＭＳ 明朝" w:hAnsi="游明朝" w:cs="Times New Roman"/>
                <w:color w:val="auto"/>
                <w:sz w:val="24"/>
                <w:szCs w:val="24"/>
              </w:rPr>
            </w:pPr>
          </w:p>
        </w:tc>
        <w:tc>
          <w:tcPr>
            <w:tcW w:w="420" w:type="dxa"/>
            <w:tcBorders>
              <w:top w:val="single" w:sz="12" w:space="0" w:color="000000"/>
              <w:left w:val="single" w:sz="12" w:space="0" w:color="000000"/>
              <w:bottom w:val="nil"/>
              <w:right w:val="single" w:sz="12" w:space="0" w:color="000000"/>
            </w:tcBorders>
          </w:tcPr>
          <w:p w14:paraId="6333B0C7" w14:textId="77777777" w:rsidR="00000000" w:rsidRPr="00D91253" w:rsidRDefault="00D91253" w:rsidP="0056588F">
            <w:pPr>
              <w:suppressAutoHyphens/>
              <w:kinsoku w:val="0"/>
              <w:autoSpaceDE w:val="0"/>
              <w:autoSpaceDN w:val="0"/>
              <w:spacing w:line="416" w:lineRule="atLeast"/>
              <w:jc w:val="center"/>
              <w:rPr>
                <w:rFonts w:ascii="ＭＳ 明朝" w:hAnsi="游明朝" w:cs="Times New Roman"/>
                <w:color w:val="auto"/>
                <w:sz w:val="24"/>
                <w:szCs w:val="24"/>
              </w:rPr>
            </w:pPr>
            <w:r>
              <w:rPr>
                <w:rFonts w:hint="eastAsia"/>
              </w:rPr>
              <w:t>学習課題</w:t>
            </w:r>
          </w:p>
        </w:tc>
        <w:tc>
          <w:tcPr>
            <w:tcW w:w="368" w:type="dxa"/>
            <w:tcBorders>
              <w:top w:val="single" w:sz="12" w:space="0" w:color="000000"/>
              <w:left w:val="single" w:sz="12" w:space="0" w:color="000000"/>
              <w:bottom w:val="nil"/>
              <w:right w:val="nil"/>
            </w:tcBorders>
          </w:tcPr>
          <w:p w14:paraId="2C07115F"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１</w:t>
            </w:r>
          </w:p>
          <w:p w14:paraId="263221A3"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２</w:t>
            </w:r>
          </w:p>
          <w:p w14:paraId="6C411F90"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３</w:t>
            </w:r>
          </w:p>
          <w:p w14:paraId="1964BDBE"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４</w:t>
            </w:r>
          </w:p>
        </w:tc>
        <w:tc>
          <w:tcPr>
            <w:tcW w:w="8042" w:type="dxa"/>
            <w:tcBorders>
              <w:top w:val="single" w:sz="12" w:space="0" w:color="000000"/>
              <w:left w:val="nil"/>
              <w:bottom w:val="nil"/>
              <w:right w:val="single" w:sz="4" w:space="0" w:color="000000"/>
            </w:tcBorders>
          </w:tcPr>
          <w:p w14:paraId="69FECCFF"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社会や生活の中から問いを見いだし，取り組むべき課題を生徒自身が設定した。</w:t>
            </w:r>
          </w:p>
          <w:p w14:paraId="6F0B3551"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各教科で得た資質・能力</w:t>
            </w:r>
            <w:r w:rsidRPr="00D91253">
              <w:rPr>
                <w:rFonts w:ascii="ＭＳ 明朝" w:eastAsia="ＭＳ Ｐ明朝" w:hAnsi="游明朝" w:cs="ＭＳ Ｐ明朝" w:hint="eastAsia"/>
                <w:sz w:val="18"/>
                <w:szCs w:val="18"/>
              </w:rPr>
              <w:t>や見方・考え方を総合的に活用すべき横断的・総合的な課題となっていた。</w:t>
            </w:r>
          </w:p>
          <w:p w14:paraId="1C0946BC"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生徒が解決への意欲を高め，解決への見通しをもてるような課題となっていた。</w:t>
            </w:r>
          </w:p>
          <w:p w14:paraId="2AEB59C3"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sidRPr="00D91253">
              <w:rPr>
                <w:rFonts w:ascii="ＭＳ 明朝" w:eastAsia="ＭＳ Ｐ明朝" w:hAnsi="游明朝" w:cs="ＭＳ Ｐ明朝" w:hint="eastAsia"/>
                <w:sz w:val="18"/>
                <w:szCs w:val="18"/>
              </w:rPr>
              <w:t>課題の解決を通して育成を目指す資質・能力を具体的に明らかにした。</w:t>
            </w:r>
          </w:p>
        </w:tc>
        <w:tc>
          <w:tcPr>
            <w:tcW w:w="1051" w:type="dxa"/>
            <w:tcBorders>
              <w:top w:val="single" w:sz="12" w:space="0" w:color="000000"/>
              <w:left w:val="single" w:sz="4" w:space="0" w:color="000000"/>
              <w:bottom w:val="nil"/>
              <w:right w:val="single" w:sz="12" w:space="0" w:color="000000"/>
            </w:tcBorders>
          </w:tcPr>
          <w:p w14:paraId="11BBF9D8"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736C90E8"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27001263"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48CE2E6A"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cs="Times New Roman"/>
              </w:rPr>
              <w:t>A B C D</w:t>
            </w:r>
          </w:p>
        </w:tc>
      </w:tr>
      <w:tr w:rsidR="00000000" w:rsidRPr="00D91253" w14:paraId="276A7DD4" w14:textId="77777777" w:rsidTr="000065C3">
        <w:tblPrEx>
          <w:tblCellMar>
            <w:top w:w="0" w:type="dxa"/>
            <w:bottom w:w="0" w:type="dxa"/>
          </w:tblCellMar>
        </w:tblPrEx>
        <w:trPr>
          <w:trHeight w:val="1623"/>
        </w:trPr>
        <w:tc>
          <w:tcPr>
            <w:tcW w:w="105" w:type="dxa"/>
            <w:vMerge/>
            <w:tcBorders>
              <w:top w:val="nil"/>
              <w:left w:val="nil"/>
              <w:bottom w:val="nil"/>
              <w:right w:val="nil"/>
            </w:tcBorders>
          </w:tcPr>
          <w:p w14:paraId="6D50263C" w14:textId="77777777" w:rsidR="00000000" w:rsidRPr="00D91253" w:rsidRDefault="00D91253">
            <w:pPr>
              <w:overflowPunct/>
              <w:autoSpaceDE w:val="0"/>
              <w:autoSpaceDN w:val="0"/>
              <w:jc w:val="left"/>
              <w:textAlignment w:val="auto"/>
              <w:rPr>
                <w:rFonts w:ascii="ＭＳ 明朝" w:hAnsi="游明朝" w:cs="Times New Roman"/>
                <w:color w:val="auto"/>
                <w:sz w:val="24"/>
                <w:szCs w:val="24"/>
              </w:rPr>
            </w:pPr>
          </w:p>
        </w:tc>
        <w:tc>
          <w:tcPr>
            <w:tcW w:w="420" w:type="dxa"/>
            <w:tcBorders>
              <w:top w:val="single" w:sz="12" w:space="0" w:color="000000"/>
              <w:left w:val="single" w:sz="12" w:space="0" w:color="000000"/>
              <w:bottom w:val="nil"/>
              <w:right w:val="single" w:sz="12" w:space="0" w:color="000000"/>
            </w:tcBorders>
          </w:tcPr>
          <w:p w14:paraId="0B3381CB" w14:textId="77777777" w:rsidR="00000000" w:rsidRPr="00D91253" w:rsidRDefault="00D91253" w:rsidP="0056588F">
            <w:pPr>
              <w:suppressAutoHyphens/>
              <w:kinsoku w:val="0"/>
              <w:autoSpaceDE w:val="0"/>
              <w:autoSpaceDN w:val="0"/>
              <w:spacing w:line="416" w:lineRule="atLeast"/>
              <w:jc w:val="center"/>
              <w:rPr>
                <w:rFonts w:ascii="ＭＳ 明朝" w:hAnsi="游明朝" w:cs="Times New Roman"/>
                <w:color w:val="auto"/>
                <w:sz w:val="24"/>
                <w:szCs w:val="24"/>
              </w:rPr>
            </w:pPr>
            <w:r>
              <w:rPr>
                <w:rFonts w:hint="eastAsia"/>
              </w:rPr>
              <w:t>学習の成果</w:t>
            </w:r>
          </w:p>
        </w:tc>
        <w:tc>
          <w:tcPr>
            <w:tcW w:w="368" w:type="dxa"/>
            <w:tcBorders>
              <w:top w:val="single" w:sz="12" w:space="0" w:color="000000"/>
              <w:left w:val="single" w:sz="12" w:space="0" w:color="000000"/>
              <w:bottom w:val="nil"/>
              <w:right w:val="nil"/>
            </w:tcBorders>
          </w:tcPr>
          <w:p w14:paraId="72A1F5E2"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１</w:t>
            </w:r>
          </w:p>
          <w:p w14:paraId="4A62D0FE"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２</w:t>
            </w:r>
          </w:p>
          <w:p w14:paraId="4BF87DB5"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３</w:t>
            </w:r>
          </w:p>
          <w:p w14:paraId="16FB7601"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４</w:t>
            </w:r>
          </w:p>
          <w:p w14:paraId="47EAB165"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５</w:t>
            </w:r>
          </w:p>
        </w:tc>
        <w:tc>
          <w:tcPr>
            <w:tcW w:w="8042" w:type="dxa"/>
            <w:tcBorders>
              <w:top w:val="single" w:sz="12" w:space="0" w:color="000000"/>
              <w:left w:val="nil"/>
              <w:bottom w:val="nil"/>
              <w:right w:val="single" w:sz="4" w:space="0" w:color="000000"/>
            </w:tcBorders>
          </w:tcPr>
          <w:p w14:paraId="679A0D15"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全ての学習の基盤となり、実社会・実生活において活用することのできる資質・能力を身につけた。</w:t>
            </w:r>
          </w:p>
          <w:p w14:paraId="1BF4D95D"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学習の過程において、比較・分類・関連付けなどの技法を活用し、身につけた。</w:t>
            </w:r>
          </w:p>
          <w:p w14:paraId="1B438C7E"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パソコンやインターネットを</w:t>
            </w:r>
            <w:r w:rsidRPr="00D91253">
              <w:rPr>
                <w:rFonts w:ascii="ＭＳ 明朝" w:eastAsia="ＭＳ Ｐ明朝" w:hAnsi="游明朝" w:cs="ＭＳ Ｐ明朝" w:hint="eastAsia"/>
                <w:sz w:val="18"/>
                <w:szCs w:val="18"/>
              </w:rPr>
              <w:t>効果的に活用して、情報収集・整理・発信などの学習活動を行った。</w:t>
            </w:r>
          </w:p>
          <w:p w14:paraId="09719119"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sz w:val="18"/>
                <w:szCs w:val="18"/>
              </w:rPr>
              <w:t>探究的な学習のよさ</w:t>
            </w:r>
            <w:r w:rsidRPr="00D91253">
              <w:rPr>
                <w:rFonts w:ascii="ＭＳ 明朝" w:eastAsia="ＭＳ Ｐ明朝" w:hAnsi="游明朝" w:cs="ＭＳ Ｐ明朝" w:hint="eastAsia"/>
                <w:sz w:val="18"/>
                <w:szCs w:val="18"/>
              </w:rPr>
              <w:t>を体験し、様々な場面で探求的な学習を進めようとする態度が身についた。</w:t>
            </w:r>
          </w:p>
          <w:p w14:paraId="64D81EF5"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sidRPr="00D91253">
              <w:rPr>
                <w:rFonts w:ascii="ＭＳ 明朝" w:eastAsia="ＭＳ Ｐ明朝" w:hAnsi="游明朝" w:cs="ＭＳ Ｐ明朝" w:hint="eastAsia"/>
                <w:sz w:val="18"/>
                <w:szCs w:val="18"/>
              </w:rPr>
              <w:t>課題の探究を通して，自己を理解し，自己の生き方を考えることができた。</w:t>
            </w:r>
          </w:p>
        </w:tc>
        <w:tc>
          <w:tcPr>
            <w:tcW w:w="1051" w:type="dxa"/>
            <w:tcBorders>
              <w:top w:val="single" w:sz="12" w:space="0" w:color="000000"/>
              <w:left w:val="single" w:sz="4" w:space="0" w:color="000000"/>
              <w:bottom w:val="nil"/>
              <w:right w:val="single" w:sz="12" w:space="0" w:color="000000"/>
            </w:tcBorders>
          </w:tcPr>
          <w:p w14:paraId="774F9806"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43880FC5"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55D1E07E"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6F9E1923"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1F374BFA"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cs="Times New Roman"/>
              </w:rPr>
              <w:t>A B C D</w:t>
            </w:r>
          </w:p>
        </w:tc>
      </w:tr>
      <w:tr w:rsidR="00000000" w:rsidRPr="00D91253" w14:paraId="029FC544" w14:textId="77777777" w:rsidTr="000065C3">
        <w:tblPrEx>
          <w:tblCellMar>
            <w:top w:w="0" w:type="dxa"/>
            <w:bottom w:w="0" w:type="dxa"/>
          </w:tblCellMar>
        </w:tblPrEx>
        <w:trPr>
          <w:trHeight w:val="1342"/>
        </w:trPr>
        <w:tc>
          <w:tcPr>
            <w:tcW w:w="105" w:type="dxa"/>
            <w:vMerge/>
            <w:tcBorders>
              <w:top w:val="nil"/>
              <w:left w:val="nil"/>
              <w:bottom w:val="nil"/>
              <w:right w:val="nil"/>
            </w:tcBorders>
          </w:tcPr>
          <w:p w14:paraId="3B69F6D9" w14:textId="77777777" w:rsidR="00000000" w:rsidRPr="00D91253" w:rsidRDefault="00D91253">
            <w:pPr>
              <w:overflowPunct/>
              <w:autoSpaceDE w:val="0"/>
              <w:autoSpaceDN w:val="0"/>
              <w:jc w:val="left"/>
              <w:textAlignment w:val="auto"/>
              <w:rPr>
                <w:rFonts w:ascii="ＭＳ 明朝" w:hAnsi="游明朝" w:cs="Times New Roman"/>
                <w:color w:val="auto"/>
                <w:sz w:val="24"/>
                <w:szCs w:val="24"/>
              </w:rPr>
            </w:pPr>
          </w:p>
        </w:tc>
        <w:tc>
          <w:tcPr>
            <w:tcW w:w="420" w:type="dxa"/>
            <w:tcBorders>
              <w:top w:val="single" w:sz="12" w:space="0" w:color="000000"/>
              <w:left w:val="single" w:sz="12" w:space="0" w:color="000000"/>
              <w:bottom w:val="nil"/>
              <w:right w:val="single" w:sz="12" w:space="0" w:color="000000"/>
            </w:tcBorders>
          </w:tcPr>
          <w:p w14:paraId="1ED681A5"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rPr>
              <w:t>指導体制</w:t>
            </w:r>
          </w:p>
        </w:tc>
        <w:tc>
          <w:tcPr>
            <w:tcW w:w="368" w:type="dxa"/>
            <w:tcBorders>
              <w:top w:val="single" w:sz="12" w:space="0" w:color="000000"/>
              <w:left w:val="single" w:sz="12" w:space="0" w:color="000000"/>
              <w:bottom w:val="nil"/>
              <w:right w:val="nil"/>
            </w:tcBorders>
          </w:tcPr>
          <w:p w14:paraId="5B549C78"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１</w:t>
            </w:r>
          </w:p>
          <w:p w14:paraId="58038EC5"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２</w:t>
            </w:r>
          </w:p>
          <w:p w14:paraId="1B88F9FB"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３</w:t>
            </w:r>
          </w:p>
          <w:p w14:paraId="70EAC090"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４</w:t>
            </w:r>
          </w:p>
        </w:tc>
        <w:tc>
          <w:tcPr>
            <w:tcW w:w="8042" w:type="dxa"/>
            <w:tcBorders>
              <w:top w:val="single" w:sz="12" w:space="0" w:color="000000"/>
              <w:left w:val="nil"/>
              <w:bottom w:val="nil"/>
              <w:right w:val="single" w:sz="4" w:space="0" w:color="000000"/>
            </w:tcBorders>
          </w:tcPr>
          <w:p w14:paraId="4D7A6326"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生徒の学習状況に応じて教師が適切な指導を行った。</w:t>
            </w:r>
          </w:p>
          <w:p w14:paraId="6B3A91ED"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地域の人々や専門家の協力を得ながら、地域の教材や学習環境を積極的に活用した。</w:t>
            </w:r>
          </w:p>
          <w:p w14:paraId="40FD2B3B"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全教師が適切な役割分担の下、一体となって指</w:t>
            </w:r>
            <w:r w:rsidRPr="00D91253">
              <w:rPr>
                <w:rFonts w:ascii="ＭＳ 明朝" w:eastAsia="ＭＳ Ｐ明朝" w:hAnsi="游明朝" w:cs="ＭＳ Ｐ明朝" w:hint="eastAsia"/>
                <w:sz w:val="18"/>
                <w:szCs w:val="18"/>
              </w:rPr>
              <w:t>導に当たる指導体制ができていた。</w:t>
            </w:r>
          </w:p>
          <w:p w14:paraId="4B705345"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sidRPr="00D91253">
              <w:rPr>
                <w:rFonts w:ascii="ＭＳ 明朝" w:eastAsia="ＭＳ Ｐ明朝" w:hAnsi="游明朝" w:cs="ＭＳ Ｐ明朝" w:hint="eastAsia"/>
                <w:sz w:val="18"/>
                <w:szCs w:val="18"/>
              </w:rPr>
              <w:t>学校図書館の活用，他の学校との連携，社会教育施設や社会教育団体等との連携などの工夫を行った。</w:t>
            </w:r>
          </w:p>
        </w:tc>
        <w:tc>
          <w:tcPr>
            <w:tcW w:w="1051" w:type="dxa"/>
            <w:tcBorders>
              <w:top w:val="single" w:sz="12" w:space="0" w:color="000000"/>
              <w:left w:val="single" w:sz="4" w:space="0" w:color="000000"/>
              <w:bottom w:val="nil"/>
              <w:right w:val="single" w:sz="12" w:space="0" w:color="000000"/>
            </w:tcBorders>
          </w:tcPr>
          <w:p w14:paraId="7981CD75"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03B40515"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2C33A89C"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54D82211"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cs="Times New Roman"/>
              </w:rPr>
              <w:t>A B C D</w:t>
            </w:r>
          </w:p>
        </w:tc>
      </w:tr>
      <w:tr w:rsidR="00000000" w:rsidRPr="00D91253" w14:paraId="04491291" w14:textId="77777777" w:rsidTr="000065C3">
        <w:tblPrEx>
          <w:tblCellMar>
            <w:top w:w="0" w:type="dxa"/>
            <w:bottom w:w="0" w:type="dxa"/>
          </w:tblCellMar>
        </w:tblPrEx>
        <w:trPr>
          <w:trHeight w:val="2047"/>
        </w:trPr>
        <w:tc>
          <w:tcPr>
            <w:tcW w:w="105" w:type="dxa"/>
            <w:vMerge/>
            <w:tcBorders>
              <w:top w:val="nil"/>
              <w:left w:val="nil"/>
              <w:bottom w:val="nil"/>
              <w:right w:val="nil"/>
            </w:tcBorders>
          </w:tcPr>
          <w:p w14:paraId="465F6212" w14:textId="77777777" w:rsidR="00000000" w:rsidRPr="00D91253" w:rsidRDefault="00D91253">
            <w:pPr>
              <w:overflowPunct/>
              <w:autoSpaceDE w:val="0"/>
              <w:autoSpaceDN w:val="0"/>
              <w:jc w:val="left"/>
              <w:textAlignment w:val="auto"/>
              <w:rPr>
                <w:rFonts w:ascii="ＭＳ 明朝" w:hAnsi="游明朝" w:cs="Times New Roman"/>
                <w:color w:val="auto"/>
                <w:sz w:val="24"/>
                <w:szCs w:val="24"/>
              </w:rPr>
            </w:pPr>
          </w:p>
        </w:tc>
        <w:tc>
          <w:tcPr>
            <w:tcW w:w="420" w:type="dxa"/>
            <w:tcBorders>
              <w:top w:val="single" w:sz="12" w:space="0" w:color="000000"/>
              <w:left w:val="single" w:sz="12" w:space="0" w:color="000000"/>
              <w:bottom w:val="single" w:sz="12" w:space="0" w:color="000000"/>
              <w:right w:val="single" w:sz="12" w:space="0" w:color="000000"/>
            </w:tcBorders>
          </w:tcPr>
          <w:p w14:paraId="0B7920E1"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hint="eastAsia"/>
                <w:position w:val="-20"/>
              </w:rPr>
              <w:t>評</w:t>
            </w:r>
          </w:p>
          <w:p w14:paraId="40EF0A17"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hint="eastAsia"/>
                <w:position w:val="-20"/>
              </w:rPr>
              <w:t>価</w:t>
            </w:r>
          </w:p>
          <w:p w14:paraId="2D62F098"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hint="eastAsia"/>
                <w:position w:val="-20"/>
              </w:rPr>
              <w:t>の</w:t>
            </w:r>
          </w:p>
          <w:p w14:paraId="47B4C1B3"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rPr>
            </w:pPr>
            <w:r>
              <w:rPr>
                <w:rFonts w:hint="eastAsia"/>
                <w:position w:val="-20"/>
              </w:rPr>
              <w:t>工</w:t>
            </w:r>
          </w:p>
          <w:p w14:paraId="7C77B8A1" w14:textId="77777777" w:rsidR="00000000" w:rsidRPr="00D91253" w:rsidRDefault="00D91253">
            <w:pPr>
              <w:suppressAutoHyphens/>
              <w:kinsoku w:val="0"/>
              <w:wordWrap w:val="0"/>
              <w:autoSpaceDE w:val="0"/>
              <w:autoSpaceDN w:val="0"/>
              <w:spacing w:line="416" w:lineRule="atLeast"/>
              <w:jc w:val="center"/>
              <w:rPr>
                <w:rFonts w:ascii="ＭＳ 明朝" w:hAnsi="游明朝" w:cs="Times New Roman"/>
                <w:color w:val="auto"/>
                <w:sz w:val="24"/>
                <w:szCs w:val="24"/>
              </w:rPr>
            </w:pPr>
            <w:r>
              <w:rPr>
                <w:rFonts w:hint="eastAsia"/>
                <w:position w:val="-20"/>
              </w:rPr>
              <w:t>夫</w:t>
            </w:r>
          </w:p>
        </w:tc>
        <w:tc>
          <w:tcPr>
            <w:tcW w:w="368" w:type="dxa"/>
            <w:tcBorders>
              <w:top w:val="single" w:sz="12" w:space="0" w:color="000000"/>
              <w:left w:val="single" w:sz="12" w:space="0" w:color="000000"/>
              <w:bottom w:val="single" w:sz="12" w:space="0" w:color="000000"/>
              <w:right w:val="nil"/>
            </w:tcBorders>
          </w:tcPr>
          <w:p w14:paraId="5F49CF53"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１</w:t>
            </w:r>
          </w:p>
          <w:p w14:paraId="2DA38E4D"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２</w:t>
            </w:r>
          </w:p>
          <w:p w14:paraId="7696F011"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３</w:t>
            </w:r>
          </w:p>
          <w:p w14:paraId="1784C30D"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４</w:t>
            </w:r>
          </w:p>
          <w:p w14:paraId="5B3B7B66"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hint="eastAsia"/>
              </w:rPr>
              <w:t>５</w:t>
            </w:r>
          </w:p>
          <w:p w14:paraId="13F9E24E"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rPr>
              <w:t>６</w:t>
            </w:r>
          </w:p>
        </w:tc>
        <w:tc>
          <w:tcPr>
            <w:tcW w:w="8042" w:type="dxa"/>
            <w:tcBorders>
              <w:top w:val="single" w:sz="12" w:space="0" w:color="000000"/>
              <w:left w:val="nil"/>
              <w:bottom w:val="single" w:sz="12" w:space="0" w:color="000000"/>
              <w:right w:val="single" w:sz="4" w:space="0" w:color="000000"/>
            </w:tcBorders>
          </w:tcPr>
          <w:p w14:paraId="5E0800BA"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生徒のよい点や進歩の状況などを積極的に評価し、意欲の向上を図った。</w:t>
            </w:r>
          </w:p>
          <w:p w14:paraId="7410D97A"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自己評価や相互評価、アンケート、作文、ポートフォリオなど多様な方法を活用し、評価の工夫を行った。</w:t>
            </w:r>
          </w:p>
          <w:p w14:paraId="45740B77"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かかわった教員全員の目を通して評価し、それをまとめた。</w:t>
            </w:r>
          </w:p>
          <w:p w14:paraId="0FE8AEAC"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外部指導者からの多面的な声を収集し、評価</w:t>
            </w:r>
            <w:r w:rsidRPr="00D91253">
              <w:rPr>
                <w:rFonts w:ascii="ＭＳ 明朝" w:eastAsia="ＭＳ Ｐ明朝" w:hAnsi="游明朝" w:cs="ＭＳ Ｐ明朝" w:hint="eastAsia"/>
                <w:sz w:val="18"/>
                <w:szCs w:val="18"/>
              </w:rPr>
              <w:t>に活かした。</w:t>
            </w:r>
          </w:p>
          <w:p w14:paraId="6C81B92D"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sidRPr="00D91253">
              <w:rPr>
                <w:rFonts w:ascii="ＭＳ 明朝" w:eastAsia="ＭＳ Ｐ明朝" w:hAnsi="游明朝" w:cs="ＭＳ Ｐ明朝" w:hint="eastAsia"/>
                <w:sz w:val="18"/>
                <w:szCs w:val="18"/>
              </w:rPr>
              <w:t>「</w:t>
            </w:r>
            <w:r>
              <w:rPr>
                <w:rFonts w:hint="eastAsia"/>
                <w:sz w:val="18"/>
                <w:szCs w:val="18"/>
              </w:rPr>
              <w:t>課題設定→情報収集→整</w:t>
            </w:r>
            <w:r>
              <w:rPr>
                <w:rFonts w:hint="eastAsia"/>
                <w:spacing w:val="-12"/>
                <w:sz w:val="18"/>
                <w:szCs w:val="18"/>
              </w:rPr>
              <w:t>理・</w:t>
            </w:r>
            <w:r>
              <w:rPr>
                <w:rFonts w:hint="eastAsia"/>
                <w:sz w:val="18"/>
                <w:szCs w:val="18"/>
              </w:rPr>
              <w:t>分析→まと</w:t>
            </w:r>
            <w:r>
              <w:rPr>
                <w:rFonts w:hint="eastAsia"/>
                <w:spacing w:val="-12"/>
                <w:sz w:val="18"/>
                <w:szCs w:val="18"/>
              </w:rPr>
              <w:t>め・</w:t>
            </w:r>
            <w:r>
              <w:rPr>
                <w:rFonts w:hint="eastAsia"/>
                <w:sz w:val="18"/>
                <w:szCs w:val="18"/>
              </w:rPr>
              <w:t>表現</w:t>
            </w:r>
            <w:r w:rsidRPr="00D91253">
              <w:rPr>
                <w:rFonts w:ascii="ＭＳ 明朝" w:eastAsia="ＭＳ Ｐ明朝" w:hAnsi="游明朝" w:cs="ＭＳ Ｐ明朝" w:hint="eastAsia"/>
                <w:spacing w:val="14"/>
                <w:sz w:val="18"/>
                <w:szCs w:val="18"/>
              </w:rPr>
              <w:t>」</w:t>
            </w:r>
            <w:r w:rsidRPr="00D91253">
              <w:rPr>
                <w:rFonts w:ascii="ＭＳ 明朝" w:eastAsia="ＭＳ Ｐ明朝" w:hAnsi="游明朝" w:cs="ＭＳ Ｐ明朝" w:hint="eastAsia"/>
                <w:sz w:val="18"/>
                <w:szCs w:val="18"/>
              </w:rPr>
              <w:t>の各場面を適切に評価するための工夫を行った。</w:t>
            </w:r>
          </w:p>
          <w:p w14:paraId="47A9D222"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hint="eastAsia"/>
                <w:sz w:val="18"/>
                <w:szCs w:val="18"/>
              </w:rPr>
              <w:t>評価の結果によって指導方法を改善するなどして指導の質を高め、指導と評価の一体化を図った</w:t>
            </w:r>
            <w:r w:rsidRPr="00D91253">
              <w:rPr>
                <w:rFonts w:ascii="ＭＳ 明朝" w:eastAsia="ＭＳ Ｐ明朝" w:hAnsi="游明朝" w:cs="ＭＳ Ｐ明朝" w:hint="eastAsia"/>
                <w:sz w:val="18"/>
                <w:szCs w:val="18"/>
              </w:rPr>
              <w:t>。</w:t>
            </w:r>
          </w:p>
        </w:tc>
        <w:tc>
          <w:tcPr>
            <w:tcW w:w="1051" w:type="dxa"/>
            <w:tcBorders>
              <w:top w:val="single" w:sz="12" w:space="0" w:color="000000"/>
              <w:left w:val="single" w:sz="4" w:space="0" w:color="000000"/>
              <w:bottom w:val="single" w:sz="12" w:space="0" w:color="000000"/>
              <w:right w:val="single" w:sz="12" w:space="0" w:color="000000"/>
            </w:tcBorders>
          </w:tcPr>
          <w:p w14:paraId="6B9D4437"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0B4ED4D0"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6A46F984"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3FDF2182"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6E1548EC"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rPr>
            </w:pPr>
            <w:r>
              <w:rPr>
                <w:rFonts w:cs="Times New Roman"/>
              </w:rPr>
              <w:t>A B C D</w:t>
            </w:r>
          </w:p>
          <w:p w14:paraId="419B77A0" w14:textId="77777777" w:rsidR="00000000" w:rsidRPr="00D91253" w:rsidRDefault="00D91253">
            <w:pPr>
              <w:suppressAutoHyphens/>
              <w:kinsoku w:val="0"/>
              <w:wordWrap w:val="0"/>
              <w:autoSpaceDE w:val="0"/>
              <w:autoSpaceDN w:val="0"/>
              <w:spacing w:line="416" w:lineRule="atLeast"/>
              <w:jc w:val="left"/>
              <w:rPr>
                <w:rFonts w:ascii="ＭＳ 明朝" w:hAnsi="游明朝" w:cs="Times New Roman"/>
                <w:color w:val="auto"/>
                <w:sz w:val="24"/>
                <w:szCs w:val="24"/>
              </w:rPr>
            </w:pPr>
            <w:r>
              <w:rPr>
                <w:rFonts w:cs="Times New Roman"/>
              </w:rPr>
              <w:t>A B C D</w:t>
            </w:r>
          </w:p>
        </w:tc>
      </w:tr>
    </w:tbl>
    <w:p w14:paraId="0259E533" w14:textId="77777777" w:rsidR="00D91253" w:rsidRPr="00D91253" w:rsidRDefault="00D91253">
      <w:pPr>
        <w:rPr>
          <w:rFonts w:ascii="ＭＳ 明朝" w:hAnsi="游明朝" w:cs="Times New Roman"/>
        </w:rPr>
      </w:pPr>
    </w:p>
    <w:sectPr w:rsidR="00D91253" w:rsidRPr="00D91253">
      <w:headerReference w:type="default" r:id="rId6"/>
      <w:footerReference w:type="default" r:id="rId7"/>
      <w:type w:val="continuous"/>
      <w:pgSz w:w="11906" w:h="16838"/>
      <w:pgMar w:top="908" w:right="908" w:bottom="850" w:left="908" w:header="720" w:footer="720" w:gutter="0"/>
      <w:pgNumType w:start="27"/>
      <w:cols w:space="720"/>
      <w:noEndnote/>
      <w:docGrid w:type="linesAndChars" w:linePitch="41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67277FFD" w14:textId="77777777" w:rsidR="00D91253" w:rsidRDefault="00D91253">
      <w:r>
        <w:separator/>
      </w:r>
    </w:p>
  </w:endnote>
  <w:endnote w:type="continuationSeparator" w:id="0">
    <w:p w14:paraId="72EC84E3" w14:textId="77777777" w:rsidR="00D91253" w:rsidRDefault="00D9125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游明朝">
    <w:panose1 w:val="02020400000000000000"/>
    <w:charset w:val="80"/>
    <w:family w:val="roman"/>
    <w:pitch w:val="variable"/>
    <w:sig w:usb0="800002E7" w:usb1="2AC7FCFF" w:usb2="00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9F11CA6" w14:textId="77777777" w:rsidR="00000000" w:rsidRPr="00D91253" w:rsidRDefault="00D91253">
    <w:pPr>
      <w:overflowPunct/>
      <w:autoSpaceDE w:val="0"/>
      <w:autoSpaceDN w:val="0"/>
      <w:jc w:val="left"/>
      <w:textAlignment w:val="auto"/>
      <w:rPr>
        <w:rFonts w:ascii="ＭＳ 明朝" w:hAnsi="游明朝" w:cs="Times New Roman"/>
        <w:color w:val="auto"/>
        <w:sz w:val="24"/>
        <w:szCs w:val="24"/>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2A6105DD" w14:textId="77777777" w:rsidR="00D91253" w:rsidRDefault="00D91253">
      <w:r w:rsidRPr="00D91253">
        <w:rPr>
          <w:rFonts w:ascii="ＭＳ 明朝" w:hAnsi="游明朝" w:cs="Times New Roman"/>
          <w:color w:val="auto"/>
          <w:sz w:val="2"/>
          <w:szCs w:val="2"/>
        </w:rPr>
        <w:continuationSeparator/>
      </w:r>
    </w:p>
  </w:footnote>
  <w:footnote w:type="continuationSeparator" w:id="0">
    <w:p w14:paraId="6C4526E5" w14:textId="77777777" w:rsidR="00D91253" w:rsidRDefault="00D91253">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5EFA02DB" w14:textId="77777777" w:rsidR="00000000" w:rsidRPr="00D91253" w:rsidRDefault="00D91253">
    <w:pPr>
      <w:overflowPunct/>
      <w:autoSpaceDE w:val="0"/>
      <w:autoSpaceDN w:val="0"/>
      <w:jc w:val="left"/>
      <w:textAlignment w:val="auto"/>
      <w:rPr>
        <w:rFonts w:ascii="ＭＳ 明朝" w:hAnsi="游明朝" w:cs="Times New Roman"/>
        <w:color w:val="auto"/>
        <w:sz w:val="24"/>
        <w:szCs w:val="24"/>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embedSystemFonts/>
  <w:bordersDoNotSurroundHeader/>
  <w:bordersDoNotSurroundFooter/>
  <w:proofState w:spelling="clean" w:grammar="clean"/>
  <w:doNotTrackMoves/>
  <w:defaultTabStop w:val="720"/>
  <w:hyphenationZone w:val="0"/>
  <w:drawingGridHorizontalSpacing w:val="0"/>
  <w:drawingGridVerticalSpacing w:val="418"/>
  <w:displayHorizontalDrawingGridEvery w:val="0"/>
  <w:doNotUseMarginsForDrawingGridOrigin/>
  <w:doNotShadeFormData/>
  <w:characterSpacingControl w:val="compressPunctuation"/>
  <w:noLineBreaksAfter w:lang="ja-JP" w:val="([{〈《「『【〔（［｛｢"/>
  <w:noLineBreaksBefore w:lang="ja-JP" w:val="!),.?]}、。〉》」』】〕！），．？］｝｡｣､ﾞﾟ"/>
  <w:doNotValidateAgainstSchema/>
  <w:doNotDemarcateInvalidXml/>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footnoteLayoutLikeWW8/>
    <w:shapeLayoutLikeWW8/>
    <w:alignTablesRowByRow/>
    <w:forgetLastTabAlignment/>
    <w:adjustLineHeightInTable/>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underlineTabInNumList/>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0065C3"/>
    <w:rsid w:val="000065C3"/>
    <w:rsid w:val="0056588F"/>
    <w:rsid w:val="00D9125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49">
      <v:textbox inset="5.85pt,.7pt,5.85pt,.7pt"/>
    </o:shapedefaults>
    <o:shapelayout v:ext="edit">
      <o:idmap v:ext="edit" data="1"/>
    </o:shapelayout>
  </w:shapeDefaults>
  <w:decimalSymbol w:val="."/>
  <w:listSeparator w:val=","/>
  <w14:docId w14:val="5947DE61"/>
  <w14:defaultImageDpi w14:val="0"/>
  <w15:docId w15:val="{3517C493-E563-440E-814D-6B1CA2E14D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游明朝" w:eastAsia="游明朝" w:hAnsi="游明朝"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overflowPunct w:val="0"/>
      <w:adjustRightInd w:val="0"/>
      <w:jc w:val="both"/>
      <w:textAlignment w:val="baseline"/>
    </w:pPr>
    <w:rPr>
      <w:rFonts w:ascii="Times New Roman" w:eastAsia="ＭＳ 明朝" w:hAnsi="Times New Roman" w:cs="ＭＳ 明朝"/>
      <w:color w:val="000000"/>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0065C3"/>
    <w:pPr>
      <w:tabs>
        <w:tab w:val="center" w:pos="4252"/>
        <w:tab w:val="right" w:pos="8504"/>
      </w:tabs>
      <w:snapToGrid w:val="0"/>
    </w:pPr>
  </w:style>
  <w:style w:type="character" w:customStyle="1" w:styleId="a4">
    <w:name w:val="ヘッダー (文字)"/>
    <w:link w:val="a3"/>
    <w:uiPriority w:val="99"/>
    <w:rsid w:val="000065C3"/>
    <w:rPr>
      <w:rFonts w:ascii="Times New Roman" w:eastAsia="ＭＳ 明朝" w:hAnsi="Times New Roman" w:cs="ＭＳ 明朝"/>
      <w:color w:val="000000"/>
      <w:kern w:val="0"/>
      <w:szCs w:val="21"/>
    </w:rPr>
  </w:style>
  <w:style w:type="paragraph" w:styleId="a5">
    <w:name w:val="footer"/>
    <w:basedOn w:val="a"/>
    <w:link w:val="a6"/>
    <w:uiPriority w:val="99"/>
    <w:unhideWhenUsed/>
    <w:rsid w:val="000065C3"/>
    <w:pPr>
      <w:tabs>
        <w:tab w:val="center" w:pos="4252"/>
        <w:tab w:val="right" w:pos="8504"/>
      </w:tabs>
      <w:snapToGrid w:val="0"/>
    </w:pPr>
  </w:style>
  <w:style w:type="character" w:customStyle="1" w:styleId="a6">
    <w:name w:val="フッター (文字)"/>
    <w:link w:val="a5"/>
    <w:uiPriority w:val="99"/>
    <w:rsid w:val="000065C3"/>
    <w:rPr>
      <w:rFonts w:ascii="Times New Roman" w:eastAsia="ＭＳ 明朝" w:hAnsi="Times New Roman" w:cs="ＭＳ 明朝"/>
      <w:color w:val="000000"/>
      <w:kern w:val="0"/>
      <w:szCs w:val="21"/>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webSettings" Target="webSettings.xml"/><Relationship Id="rId7"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47</TotalTime>
  <Pages>1</Pages>
  <Words>237</Words>
  <Characters>1353</Characters>
  <Application>Microsoft Office Word</Application>
  <DocSecurity>0</DocSecurity>
  <Lines>11</Lines>
  <Paragraphs>3</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1587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だんざ出版</dc:creator>
  <cp:keywords/>
  <dc:description/>
  <cp:revision>3</cp:revision>
  <cp:lastPrinted>2019-06-24T07:18:00Z</cp:lastPrinted>
  <dcterms:created xsi:type="dcterms:W3CDTF">2019-06-24T07:25:00Z</dcterms:created>
  <dcterms:modified xsi:type="dcterms:W3CDTF">2019-06-24T08:12:00Z</dcterms:modified>
</cp:coreProperties>
</file>